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pacing w:val="34"/>
          <w:sz w:val="25"/>
          <w:szCs w:val="25"/>
        </w:rPr>
        <w:t>ПОСТАНОВЛЕНИЕ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1"/>
        <w:gridCol w:w="477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г.Ханты-Мансийск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13 февраля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года</w:t>
            </w:r>
          </w:p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14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час.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>05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5"/>
                <w:szCs w:val="25"/>
              </w:rPr>
              <w:t xml:space="preserve"> мин.</w:t>
            </w:r>
          </w:p>
        </w:tc>
      </w:tr>
    </w:tbl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района Ханты-Мансийского автономного округа – Югры Миненко Юлия Борисовна,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дело об административном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162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ч.2 ст.7.27 КоАП РФ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Елены Александровны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анее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привлекавше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>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06.02.2026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Соловьева Е.А.</w:t>
      </w:r>
      <w:r>
        <w:rPr>
          <w:rFonts w:ascii="Times New Roman" w:eastAsia="Times New Roman" w:hAnsi="Times New Roman" w:cs="Times New Roman"/>
          <w:sz w:val="25"/>
          <w:szCs w:val="25"/>
        </w:rPr>
        <w:t>, находясь в помещении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>», расположенного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Дзержинского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</w:t>
      </w:r>
      <w:r>
        <w:rPr>
          <w:rFonts w:ascii="Times New Roman" w:eastAsia="Times New Roman" w:hAnsi="Times New Roman" w:cs="Times New Roman"/>
          <w:sz w:val="25"/>
          <w:szCs w:val="25"/>
        </w:rPr>
        <w:t>30</w:t>
      </w:r>
      <w:r>
        <w:rPr>
          <w:rFonts w:ascii="Times New Roman" w:eastAsia="Times New Roman" w:hAnsi="Times New Roman" w:cs="Times New Roman"/>
          <w:sz w:val="25"/>
          <w:szCs w:val="25"/>
        </w:rPr>
        <w:t>, путем свободного доступа, из корыстных побуждений тайно похитил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товарно-материальные ценности, принадлежащие </w:t>
      </w:r>
      <w:r>
        <w:rPr>
          <w:rFonts w:ascii="Times New Roman" w:eastAsia="Times New Roman" w:hAnsi="Times New Roman" w:cs="Times New Roman"/>
          <w:sz w:val="25"/>
          <w:szCs w:val="25"/>
        </w:rPr>
        <w:t>ООО «Альфа М»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Fonts w:ascii="Times New Roman" w:eastAsia="Times New Roman" w:hAnsi="Times New Roman" w:cs="Times New Roman"/>
          <w:sz w:val="25"/>
          <w:szCs w:val="25"/>
        </w:rPr>
        <w:t>Виски «</w:t>
      </w:r>
      <w:r>
        <w:rPr>
          <w:rFonts w:ascii="Times New Roman" w:eastAsia="Times New Roman" w:hAnsi="Times New Roman" w:cs="Times New Roman"/>
          <w:sz w:val="25"/>
          <w:szCs w:val="25"/>
        </w:rPr>
        <w:t>купажированный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нобл.Стар.3 года»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0,7 л.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</w:t>
      </w:r>
      <w:r>
        <w:rPr>
          <w:rFonts w:ascii="Times New Roman" w:eastAsia="Times New Roman" w:hAnsi="Times New Roman" w:cs="Times New Roman"/>
          <w:sz w:val="25"/>
          <w:szCs w:val="25"/>
        </w:rPr>
        <w:t>количестве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 шт.,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стоимостью </w:t>
      </w:r>
      <w:r>
        <w:rPr>
          <w:rFonts w:ascii="Times New Roman" w:eastAsia="Times New Roman" w:hAnsi="Times New Roman" w:cs="Times New Roman"/>
          <w:sz w:val="25"/>
          <w:szCs w:val="25"/>
        </w:rPr>
        <w:t>1057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причинив своими действиями </w:t>
      </w:r>
      <w:r>
        <w:rPr>
          <w:rFonts w:ascii="Times New Roman" w:eastAsia="Times New Roman" w:hAnsi="Times New Roman" w:cs="Times New Roman"/>
          <w:sz w:val="25"/>
          <w:szCs w:val="25"/>
        </w:rPr>
        <w:t>ООО «Альфа М»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материальный ущерб на общую сумму </w:t>
      </w:r>
      <w:r>
        <w:rPr>
          <w:rFonts w:ascii="Times New Roman" w:eastAsia="Times New Roman" w:hAnsi="Times New Roman" w:cs="Times New Roman"/>
          <w:sz w:val="25"/>
          <w:szCs w:val="25"/>
        </w:rPr>
        <w:t>1057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Соловьева Е.А.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помощью защитника не воспользовал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>, вину в совершении правонарушения не оспаривал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. Пояснил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что </w:t>
      </w:r>
      <w:r>
        <w:rPr>
          <w:rFonts w:ascii="Times New Roman" w:eastAsia="Times New Roman" w:hAnsi="Times New Roman" w:cs="Times New Roman"/>
          <w:sz w:val="25"/>
          <w:szCs w:val="25"/>
        </w:rPr>
        <w:t>06.02.2026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>» похитил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товарно-материальные ценност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и, принадлежащие </w:t>
      </w:r>
      <w:r>
        <w:rPr>
          <w:rFonts w:ascii="Times New Roman" w:eastAsia="Times New Roman" w:hAnsi="Times New Roman" w:cs="Times New Roman"/>
          <w:sz w:val="25"/>
          <w:szCs w:val="25"/>
        </w:rPr>
        <w:t>ООО «Альфа М»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Представитель потерпевшего </w:t>
      </w:r>
      <w:r>
        <w:rPr>
          <w:rFonts w:ascii="Times New Roman" w:eastAsia="Times New Roman" w:hAnsi="Times New Roman" w:cs="Times New Roman"/>
          <w:sz w:val="25"/>
          <w:szCs w:val="25"/>
        </w:rPr>
        <w:t>Мустяца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руководствуясь ч.3 ст.25.2 КоАП РФ, счел возможным рассмотреть дело в отсутствии представителя потерпевшего.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Соловьеву Е.А.</w:t>
      </w:r>
      <w:r>
        <w:rPr>
          <w:rFonts w:ascii="Times New Roman" w:eastAsia="Times New Roman" w:hAnsi="Times New Roman" w:cs="Times New Roman"/>
          <w:sz w:val="25"/>
          <w:szCs w:val="25"/>
        </w:rPr>
        <w:t>, изучив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Частью 2 статьи 7.27 КоАП РФ предусмотрена административная ответственность за </w:t>
      </w:r>
      <w:r>
        <w:rPr>
          <w:rFonts w:ascii="Times New Roman" w:eastAsia="Times New Roman" w:hAnsi="Times New Roman" w:cs="Times New Roman"/>
          <w:sz w:val="25"/>
          <w:szCs w:val="25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8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8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81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81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158.1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1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1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1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2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2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3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3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3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5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5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5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6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6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5906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четвертой статьи 159.6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60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второй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0108000/entry/160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третьей статьи 160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Уголовного кодекса Российской Федерации, за исключением случаев,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4" w:anchor="/document/12125267/entry/1415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14.15.3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настоящего Кодекса.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хищения из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», принадлежащего </w:t>
      </w:r>
      <w:r>
        <w:rPr>
          <w:rFonts w:ascii="Times New Roman" w:eastAsia="Times New Roman" w:hAnsi="Times New Roman" w:cs="Times New Roman"/>
          <w:sz w:val="25"/>
          <w:szCs w:val="25"/>
        </w:rPr>
        <w:t>ООО «Альфа М»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подтверждается исследованными судом доказательствами: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  <w:sz w:val="25"/>
          <w:szCs w:val="25"/>
        </w:rPr>
        <w:t>400097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11.02.2026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ОР ППСП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МО МВД России «Ханты-Мансийский» от </w:t>
      </w:r>
      <w:r>
        <w:rPr>
          <w:rFonts w:ascii="Times New Roman" w:eastAsia="Times New Roman" w:hAnsi="Times New Roman" w:cs="Times New Roman"/>
          <w:sz w:val="25"/>
          <w:szCs w:val="25"/>
        </w:rPr>
        <w:t>11.02.2026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сообщении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из </w:t>
      </w:r>
      <w:r>
        <w:rPr>
          <w:rFonts w:ascii="Times New Roman" w:eastAsia="Times New Roman" w:hAnsi="Times New Roman" w:cs="Times New Roman"/>
          <w:sz w:val="25"/>
          <w:szCs w:val="25"/>
        </w:rPr>
        <w:t>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о мелком хищении по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Дзержинского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30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11.02.2026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 он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06.02.2026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Fonts w:ascii="Times New Roman" w:eastAsia="Times New Roman" w:hAnsi="Times New Roman" w:cs="Times New Roman"/>
          <w:sz w:val="25"/>
          <w:szCs w:val="25"/>
        </w:rPr>
        <w:t>19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час.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мин.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находил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магазине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по </w:t>
      </w:r>
      <w:r>
        <w:rPr>
          <w:rFonts w:ascii="Times New Roman" w:eastAsia="Times New Roman" w:hAnsi="Times New Roman" w:cs="Times New Roman"/>
          <w:sz w:val="25"/>
          <w:szCs w:val="25"/>
        </w:rPr>
        <w:t>ул.</w:t>
      </w:r>
      <w:r>
        <w:rPr>
          <w:rFonts w:ascii="Times New Roman" w:eastAsia="Times New Roman" w:hAnsi="Times New Roman" w:cs="Times New Roman"/>
          <w:sz w:val="25"/>
          <w:szCs w:val="25"/>
        </w:rPr>
        <w:t>Дзержинского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30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где </w:t>
      </w:r>
      <w:r>
        <w:rPr>
          <w:rFonts w:ascii="Times New Roman" w:eastAsia="Times New Roman" w:hAnsi="Times New Roman" w:cs="Times New Roman"/>
          <w:sz w:val="25"/>
          <w:szCs w:val="25"/>
        </w:rPr>
        <w:t>похитил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Виски «</w:t>
      </w:r>
      <w:r>
        <w:rPr>
          <w:rFonts w:ascii="Times New Roman" w:eastAsia="Times New Roman" w:hAnsi="Times New Roman" w:cs="Times New Roman"/>
          <w:sz w:val="25"/>
          <w:szCs w:val="25"/>
        </w:rPr>
        <w:t>купажированный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нобл.Стар.3 года» 0,7 л., в количестве 1 шт., стоимостью 1057 руб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магазина «</w:t>
      </w:r>
      <w:r>
        <w:rPr>
          <w:rFonts w:ascii="Times New Roman" w:eastAsia="Times New Roman" w:hAnsi="Times New Roman" w:cs="Times New Roman"/>
          <w:sz w:val="25"/>
          <w:szCs w:val="25"/>
        </w:rPr>
        <w:t>Красное и Белое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sz w:val="25"/>
          <w:szCs w:val="25"/>
        </w:rPr>
        <w:t>Мустяца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11.02.2026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хищения из магазина товарно-материальных ценностей;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-справкой об ущербе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факту мелкого хищения чужого имущества, стоимостью более одной тысячи рублей, но не более двух тысяч пятьсот рублей путем кражи, нашла свое подтверждение.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Соловьевой Е.А.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ч.2 ст.7.27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мелкое хищение чужого имущества стоимостью более одной тысячи рублей, но не более двух тысяч пятисот рублей путем кражи.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Назн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ачая административное наказание,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суд учитывает </w:t>
      </w:r>
      <w:r>
        <w:rPr>
          <w:rFonts w:ascii="Times New Roman" w:eastAsia="Times New Roman" w:hAnsi="Times New Roman" w:cs="Times New Roman"/>
          <w:sz w:val="25"/>
          <w:szCs w:val="25"/>
        </w:rPr>
        <w:t>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Соловьевой Е.А.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совершено право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нарушение против собственности.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ответственность, является признание вин</w:t>
      </w:r>
      <w:r>
        <w:rPr>
          <w:rFonts w:ascii="Times New Roman" w:eastAsia="Times New Roman" w:hAnsi="Times New Roman" w:cs="Times New Roman"/>
          <w:sz w:val="25"/>
          <w:szCs w:val="25"/>
        </w:rPr>
        <w:t>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раскаян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е в совершенном правонарушении, наличие на иждивении несовершеннолетнего ребенка.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ст.ст.23.1, 29.10 КоАП РФ, мировой судья,</w:t>
      </w:r>
    </w:p>
    <w:p>
      <w:pPr>
        <w:spacing w:before="0" w:after="0"/>
        <w:ind w:firstLine="709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Соловьеву Елену Александровну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ч.2 ст.7.27 КоАП РФ,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наказание в виде административного </w:t>
      </w:r>
      <w:r>
        <w:rPr>
          <w:rFonts w:ascii="Times New Roman" w:eastAsia="Times New Roman" w:hAnsi="Times New Roman" w:cs="Times New Roman"/>
          <w:sz w:val="25"/>
          <w:szCs w:val="25"/>
        </w:rPr>
        <w:t>штрафа в размере 3000 руб.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по следующим реквизитам: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наименование банка: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ОКЦ №8 УГУ Банка России//УФК по Ханты-Мансийскому автономному округу-Югре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номер казначейского счета: 03100643000000018700, ЕКС: 40102810245370000007, БИК: 007162163, ИНН: 8601073664, КПП: 860101001, ОКТМО: 71871000, КБК 720 1 16 01073 01 0027 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0412365400725001622607182</w:t>
      </w:r>
    </w:p>
    <w:p>
      <w:pPr>
        <w:spacing w:before="0" w:after="0"/>
        <w:ind w:firstLine="709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№3 Ханты-Мансийского судебного района Ханты-Мансийского автономного округа – Югры по адресу: Ханты-Мансийский автономный округ – Югра,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ул.Ленина</w:t>
      </w:r>
      <w:r>
        <w:rPr>
          <w:rFonts w:ascii="Times New Roman" w:eastAsia="Times New Roman" w:hAnsi="Times New Roman" w:cs="Times New Roman"/>
          <w:sz w:val="25"/>
          <w:szCs w:val="25"/>
        </w:rPr>
        <w:t>, дом 87/1, каб.101.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Ю.Б. Миненко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 Миненко</w:t>
      </w:r>
    </w:p>
    <w:p>
      <w:pPr>
        <w:spacing w:before="0" w:after="0"/>
        <w:rPr>
          <w:sz w:val="25"/>
          <w:szCs w:val="25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5rplc-9">
    <w:name w:val="cat-UserDefined grp-3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